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485D6" w14:textId="77777777" w:rsidR="006206D7" w:rsidRDefault="006206D7" w:rsidP="006206D7">
      <w:pPr>
        <w:keepNext/>
        <w:keepLines/>
        <w:widowControl w:val="0"/>
        <w:spacing w:after="0" w:line="240" w:lineRule="auto"/>
        <w:ind w:left="4956" w:firstLine="431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F0E86B" w14:textId="77777777" w:rsidR="002636AD" w:rsidRPr="0068010E" w:rsidRDefault="002636AD" w:rsidP="002636A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A111B6D" w14:textId="21F2EC3B" w:rsidR="002636AD" w:rsidRDefault="002636AD" w:rsidP="002636AD">
      <w:pPr>
        <w:keepNext/>
        <w:keepLines/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</w:pPr>
      <w:r w:rsidRPr="0068010E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Техническое задание </w:t>
      </w:r>
    </w:p>
    <w:p w14:paraId="7F5D68EC" w14:textId="77777777" w:rsidR="0082777D" w:rsidRPr="0068010E" w:rsidRDefault="0082777D" w:rsidP="002636AD">
      <w:pPr>
        <w:keepNext/>
        <w:keepLines/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</w:pPr>
    </w:p>
    <w:p w14:paraId="0D55F42D" w14:textId="51478BF9" w:rsidR="002636AD" w:rsidRPr="00BA4D91" w:rsidRDefault="0050360D" w:rsidP="00BA4D91">
      <w:pPr>
        <w:spacing w:after="0"/>
        <w:ind w:right="-1"/>
        <w:jc w:val="both"/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на выполнение </w:t>
      </w:r>
      <w:r w:rsidR="002636AD" w:rsidRPr="00566D06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строительно-монтажных, пусконаладочных и иных работ при подключении к системам теплоснабжения </w:t>
      </w:r>
      <w:r w:rsidR="009E469F" w:rsidRPr="009E469F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ПАО «МОЭК»</w:t>
      </w:r>
      <w:r w:rsidR="002636AD" w:rsidRPr="00566D06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 </w:t>
      </w:r>
      <w:r w:rsidR="002636AD" w:rsidRPr="009539C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объекта капитального строительства</w:t>
      </w:r>
      <w:r w:rsidR="002636AD" w:rsidRPr="00001A6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5799E" w:rsidRP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«Рыночно-торговый комплекс», расположенного по адресу: г. Москва, </w:t>
      </w:r>
      <w:r w:rsid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br/>
      </w:r>
      <w:r w:rsidR="0015799E" w:rsidRP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д.п. Кокошкино, ул. Школьная</w:t>
      </w:r>
      <w:r w:rsidR="005E187C" w:rsidRPr="005E187C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.</w:t>
      </w:r>
    </w:p>
    <w:p w14:paraId="7E38F4A8" w14:textId="77777777" w:rsidR="002636AD" w:rsidRPr="009539CE" w:rsidRDefault="002636AD" w:rsidP="0082777D">
      <w:pPr>
        <w:spacing w:after="0"/>
        <w:ind w:left="-426" w:right="-1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4ABE60F" w14:textId="77777777" w:rsidR="002636AD" w:rsidRPr="009539CE" w:rsidRDefault="002636AD" w:rsidP="0082777D">
      <w:pPr>
        <w:widowControl w:val="0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539CE">
        <w:rPr>
          <w:rFonts w:ascii="Times New Roman" w:eastAsia="Times New Roman" w:hAnsi="Times New Roman" w:cs="Times New Roman"/>
          <w:bCs/>
          <w:sz w:val="24"/>
          <w:szCs w:val="24"/>
        </w:rPr>
        <w:t>Перечень объектов</w:t>
      </w:r>
      <w:r w:rsidRPr="009539CE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3940E0E4" w14:textId="22C8464F" w:rsidR="002636AD" w:rsidRPr="0015799E" w:rsidRDefault="002636AD" w:rsidP="0015799E">
      <w:pPr>
        <w:spacing w:after="0"/>
        <w:ind w:right="-1"/>
        <w:jc w:val="both"/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</w:pPr>
      <w:r w:rsidRPr="009539CE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Согласно пп.10,11 статьи 14 Федерального закона от 27 июля 2010 года №190-ФЗ </w:t>
      </w:r>
      <w:r w:rsidRPr="009539CE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="001A7D7D" w:rsidRPr="001A7D7D">
        <w:rPr>
          <w:rFonts w:ascii="Times New Roman" w:eastAsia="Times New Roman" w:hAnsi="Times New Roman" w:cs="Times New Roman"/>
          <w:bCs/>
          <w:sz w:val="24"/>
          <w:szCs w:val="24"/>
        </w:rPr>
        <w:t xml:space="preserve">«О теплоснабжении» в целях подключения объекта капитального строительства </w:t>
      </w:r>
      <w:r w:rsidR="0015799E" w:rsidRP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«Рыночно-торговый комплекс», распол</w:t>
      </w:r>
      <w:r w:rsid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оженного по адресу: г. Москва, </w:t>
      </w:r>
      <w:r w:rsidR="0015799E" w:rsidRP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 xml:space="preserve">д.п. Кокошкино, </w:t>
      </w:r>
      <w:r w:rsid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br/>
      </w:r>
      <w:r w:rsidR="0015799E" w:rsidRPr="0015799E">
        <w:rPr>
          <w:rFonts w:ascii="Times New Roman" w:eastAsia="Times New Roman" w:hAnsi="Times New Roman" w:cs="Times New Roman"/>
          <w:bCs/>
          <w:spacing w:val="10"/>
          <w:sz w:val="24"/>
          <w:szCs w:val="24"/>
          <w:u w:val="single"/>
        </w:rPr>
        <w:t>ул. Школьная</w:t>
      </w:r>
      <w:r w:rsidR="004E7727" w:rsidRPr="00BA4D9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4E7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A0B09">
        <w:rPr>
          <w:rFonts w:ascii="Times New Roman" w:eastAsia="Times New Roman" w:hAnsi="Times New Roman" w:cs="Times New Roman"/>
          <w:bCs/>
          <w:sz w:val="24"/>
          <w:szCs w:val="24"/>
        </w:rPr>
        <w:t>необходимо</w:t>
      </w:r>
      <w:r w:rsidRPr="009539CE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выполнить следующие объемы строительно-монтажных работ: </w:t>
      </w:r>
    </w:p>
    <w:tbl>
      <w:tblPr>
        <w:tblW w:w="10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8"/>
        <w:gridCol w:w="7655"/>
        <w:gridCol w:w="992"/>
        <w:gridCol w:w="850"/>
      </w:tblGrid>
      <w:tr w:rsidR="00870FD1" w:rsidRPr="00712039" w14:paraId="49238AD4" w14:textId="77777777" w:rsidTr="00870FD1">
        <w:trPr>
          <w:trHeight w:val="20"/>
        </w:trPr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9E18DB" w14:textId="77777777" w:rsidR="00870FD1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2C84E5" w14:textId="482EDDF6" w:rsidR="00870FD1" w:rsidRDefault="00870FD1" w:rsidP="00870F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05F2F2" w14:textId="77777777" w:rsidR="005E187C" w:rsidRDefault="005E187C" w:rsidP="00870F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F2F812" w14:textId="0B0DBA95" w:rsidR="00870FD1" w:rsidRPr="00712039" w:rsidRDefault="004E7727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Строительно-монтажные</w:t>
            </w:r>
            <w:r w:rsidR="00870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</w:tr>
      <w:tr w:rsidR="00870FD1" w:rsidRPr="004F381F" w14:paraId="059DF10D" w14:textId="77777777" w:rsidTr="00870FD1">
        <w:trPr>
          <w:trHeight w:val="20"/>
        </w:trPr>
        <w:tc>
          <w:tcPr>
            <w:tcW w:w="778" w:type="dxa"/>
            <w:tcBorders>
              <w:top w:val="single" w:sz="4" w:space="0" w:color="auto"/>
            </w:tcBorders>
          </w:tcPr>
          <w:p w14:paraId="7391BB02" w14:textId="77777777" w:rsidR="00870FD1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№</w:t>
            </w:r>
          </w:p>
          <w:p w14:paraId="38C02D52" w14:textId="77777777" w:rsidR="00870FD1" w:rsidRPr="004F381F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п/п</w:t>
            </w: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14:paraId="3F97645A" w14:textId="77777777" w:rsidR="00870FD1" w:rsidRPr="004F381F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4F381F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F1A810" w14:textId="77777777" w:rsidR="00870FD1" w:rsidRPr="004F381F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C93FB6" w14:textId="77777777" w:rsidR="00870FD1" w:rsidRPr="004F381F" w:rsidRDefault="00870FD1" w:rsidP="0087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15799E" w14:paraId="71809B96" w14:textId="77777777" w:rsidTr="00870FD1">
        <w:trPr>
          <w:trHeight w:val="20"/>
        </w:trPr>
        <w:tc>
          <w:tcPr>
            <w:tcW w:w="778" w:type="dxa"/>
          </w:tcPr>
          <w:p w14:paraId="6A7C3A9A" w14:textId="4230DE41" w:rsidR="0015799E" w:rsidRPr="004F381F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14:paraId="65D86725" w14:textId="7C2F2F3B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Теплова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сеть (температурный график 150</w:t>
            </w: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-70ºС)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F9E616" w14:textId="6645C1F3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FCA632" w14:textId="15B1EFB5" w:rsidR="0015799E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99E" w14:paraId="76B84A55" w14:textId="77777777" w:rsidTr="00870FD1">
        <w:trPr>
          <w:trHeight w:val="20"/>
        </w:trPr>
        <w:tc>
          <w:tcPr>
            <w:tcW w:w="778" w:type="dxa"/>
          </w:tcPr>
          <w:p w14:paraId="6DDDB802" w14:textId="1610F44F" w:rsidR="0015799E" w:rsidRPr="004F381F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6A2C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55" w:type="dxa"/>
            <w:shd w:val="clear" w:color="auto" w:fill="auto"/>
          </w:tcPr>
          <w:p w14:paraId="7CFB4E59" w14:textId="77777777" w:rsidR="0015799E" w:rsidRPr="00133FA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Тепловая сеть 2Ду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125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мм.</w:t>
            </w:r>
          </w:p>
          <w:p w14:paraId="23C79562" w14:textId="4FF9B932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(ГОСТ 8731-74 гр.В ст.20 ГОСТ 1050-88) в ППУ-ПЭ с выводом сигнала на РДП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BA9610" w14:textId="28F110F7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п.м.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1BA5E7" w14:textId="6D6376E7" w:rsidR="0015799E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39,6</w:t>
            </w:r>
          </w:p>
        </w:tc>
      </w:tr>
      <w:tr w:rsidR="0015799E" w14:paraId="6AD7045A" w14:textId="77777777" w:rsidTr="00870FD1">
        <w:trPr>
          <w:trHeight w:val="20"/>
        </w:trPr>
        <w:tc>
          <w:tcPr>
            <w:tcW w:w="778" w:type="dxa"/>
          </w:tcPr>
          <w:p w14:paraId="1708A0A8" w14:textId="77777777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14:paraId="67440BCD" w14:textId="77777777" w:rsidR="0015799E" w:rsidRPr="00133FA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в монолитном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не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проходном ж.б. канале 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</w:rPr>
              <w:t>1,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6х1,225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</w:rPr>
              <w:t>(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  <w:t>h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</w:rPr>
              <w:t>)м</w:t>
            </w:r>
          </w:p>
          <w:p w14:paraId="6E7DA510" w14:textId="3885A385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0"/>
                <w:szCs w:val="20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325344" w14:textId="7A82381D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п.м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B14CAA" w14:textId="1F838FC1" w:rsidR="0015799E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15799E" w14:paraId="349B541F" w14:textId="77777777" w:rsidTr="00B04CA0">
        <w:trPr>
          <w:trHeight w:val="20"/>
        </w:trPr>
        <w:tc>
          <w:tcPr>
            <w:tcW w:w="778" w:type="dxa"/>
          </w:tcPr>
          <w:p w14:paraId="55CECE6E" w14:textId="743D1E4E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14:paraId="387AE85A" w14:textId="77777777" w:rsidR="0015799E" w:rsidRPr="00133FA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- бесканально на монолитном ж/б основании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</w:rPr>
              <w:t>1,3х0,25(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  <w:t>h</w:t>
            </w:r>
            <w:r w:rsidRPr="00BF2B42">
              <w:rPr>
                <w:rFonts w:ascii="Times New Roman" w:hAnsi="Times New Roman" w:cs="Times New Roman"/>
                <w:bCs/>
                <w:sz w:val="24"/>
                <w:szCs w:val="26"/>
              </w:rPr>
              <w:t>)м</w:t>
            </w:r>
          </w:p>
          <w:p w14:paraId="104019A1" w14:textId="5E30A760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0"/>
                <w:szCs w:val="20"/>
              </w:rPr>
              <w:t>МГСН 6.03-03 п. 4.1.14, СП 41-05-2002 п.4.23, СНиП 41-02-2003 п.12.17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23ECDD" w14:textId="78B7FA89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п.м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4296AE" w14:textId="1192213D" w:rsidR="0015799E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15799E" w:rsidRPr="000D7AF0" w14:paraId="3975A2AB" w14:textId="77777777" w:rsidTr="00B04CA0">
        <w:trPr>
          <w:trHeight w:val="20"/>
        </w:trPr>
        <w:tc>
          <w:tcPr>
            <w:tcW w:w="778" w:type="dxa"/>
            <w:vAlign w:val="center"/>
          </w:tcPr>
          <w:p w14:paraId="45F70AF8" w14:textId="00AC39A3" w:rsidR="0015799E" w:rsidRPr="002A429D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16CA08A" w14:textId="2D16AB78" w:rsidR="0015799E" w:rsidRPr="00117397" w:rsidRDefault="0015799E" w:rsidP="001579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камера: строительство новой тепловой камеры ТК-Т.1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579CCF" w14:textId="51AD97BD" w:rsidR="0015799E" w:rsidRPr="000D7AF0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278066" w14:textId="458D1D65" w:rsidR="0015799E" w:rsidRPr="000D7AF0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99E" w:rsidRPr="00B9751B" w14:paraId="296DDD29" w14:textId="77777777" w:rsidTr="00870FD1">
        <w:trPr>
          <w:trHeight w:val="20"/>
        </w:trPr>
        <w:tc>
          <w:tcPr>
            <w:tcW w:w="778" w:type="dxa"/>
          </w:tcPr>
          <w:p w14:paraId="70EE5D40" w14:textId="77777777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14:paraId="112BA84B" w14:textId="3EF4AF46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Строительная часть: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3,5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3,5х2,0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(h)м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E3FA12" w14:textId="0FA95546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FD608E" w14:textId="1F56B89C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5799E" w:rsidRPr="00B9751B" w14:paraId="026BC157" w14:textId="77777777" w:rsidTr="00B04CA0">
        <w:trPr>
          <w:trHeight w:val="20"/>
        </w:trPr>
        <w:tc>
          <w:tcPr>
            <w:tcW w:w="778" w:type="dxa"/>
          </w:tcPr>
          <w:p w14:paraId="76CA42DC" w14:textId="5B6FD683" w:rsidR="0015799E" w:rsidRPr="004F381F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14:paraId="3D5EA518" w14:textId="77777777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Технологическая часть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72F06667" w14:textId="77777777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врезка в магистраль 2Ду 300/125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узлами управления </w:t>
            </w:r>
          </w:p>
          <w:p w14:paraId="22FFC8AB" w14:textId="0B9571B6" w:rsidR="0015799E" w:rsidRPr="00565B6E" w:rsidRDefault="0015799E" w:rsidP="0015799E">
            <w:pPr>
              <w:spacing w:after="0" w:line="240" w:lineRule="auto"/>
            </w:pP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ШК 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125- 2 шт, 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40- 2 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C204F6" w14:textId="22D7CD1A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453E17" w14:textId="086AD295" w:rsidR="0015799E" w:rsidRPr="00B9751B" w:rsidRDefault="0015799E" w:rsidP="001579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5799E" w:rsidRPr="004876BA" w14:paraId="645CDDAB" w14:textId="77777777" w:rsidTr="00B04CA0">
        <w:trPr>
          <w:trHeight w:val="20"/>
        </w:trPr>
        <w:tc>
          <w:tcPr>
            <w:tcW w:w="778" w:type="dxa"/>
            <w:vAlign w:val="center"/>
          </w:tcPr>
          <w:p w14:paraId="7AE4D6EE" w14:textId="4FCDC49E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8166EBC" w14:textId="356DB961" w:rsidR="0015799E" w:rsidRPr="004876BA" w:rsidRDefault="0015799E" w:rsidP="0015799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Байпас (температурный график 150</w:t>
            </w: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-70ºС)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A30008" w14:textId="4DC824D5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4515AA" w14:textId="6C853827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799E" w:rsidRPr="004876BA" w14:paraId="3CDF5FB4" w14:textId="77777777" w:rsidTr="00B04CA0">
        <w:trPr>
          <w:trHeight w:val="20"/>
        </w:trPr>
        <w:tc>
          <w:tcPr>
            <w:tcW w:w="778" w:type="dxa"/>
            <w:vAlign w:val="center"/>
          </w:tcPr>
          <w:p w14:paraId="59B0CAD4" w14:textId="7FD4CFEB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55" w:type="dxa"/>
            <w:shd w:val="clear" w:color="auto" w:fill="auto"/>
          </w:tcPr>
          <w:p w14:paraId="0E83E91F" w14:textId="77777777" w:rsidR="0015799E" w:rsidRPr="00133FA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Байпас 2Ду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30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0 на низких опорах, наземно</w:t>
            </w:r>
          </w:p>
          <w:p w14:paraId="3FF8AC8B" w14:textId="7592F4F8" w:rsidR="0015799E" w:rsidRPr="004876B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(ГОСТ 8731-74 гр.В ст.20 ГОСТ 1050-88);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001FD8" w14:textId="4666EA23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D28906" w14:textId="76507CB7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799E" w14:paraId="3F831CBF" w14:textId="77777777" w:rsidTr="00B04CA0">
        <w:trPr>
          <w:trHeight w:val="20"/>
        </w:trPr>
        <w:tc>
          <w:tcPr>
            <w:tcW w:w="778" w:type="dxa"/>
            <w:vAlign w:val="center"/>
          </w:tcPr>
          <w:p w14:paraId="606762E4" w14:textId="77777777" w:rsidR="0015799E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14:paraId="4AB044F2" w14:textId="77777777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Технологическая часть на трубопроводы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: </w:t>
            </w:r>
          </w:p>
          <w:p w14:paraId="1B21B7B9" w14:textId="6751D593" w:rsidR="0015799E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ШК 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Ду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30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-2 шт.;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4"/>
              </w:rPr>
              <w:t>0-2 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91F52B" w14:textId="18F3D2D6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775EF8" w14:textId="68301C15" w:rsidR="0015799E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799E" w:rsidRPr="000D7AF0" w14:paraId="65B94BBB" w14:textId="77777777" w:rsidTr="00B04CA0">
        <w:trPr>
          <w:trHeight w:val="20"/>
        </w:trPr>
        <w:tc>
          <w:tcPr>
            <w:tcW w:w="778" w:type="dxa"/>
            <w:vAlign w:val="center"/>
          </w:tcPr>
          <w:p w14:paraId="23F29E42" w14:textId="1B7B2E5A" w:rsidR="0015799E" w:rsidRPr="004876B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14:paraId="2DAE1FC5" w14:textId="07A49BF9" w:rsidR="0015799E" w:rsidRPr="004876B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Шахта опуска (строительная часть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,2х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3,2х2,0</w:t>
            </w:r>
            <w:r w:rsidRPr="00133FAA">
              <w:rPr>
                <w:rFonts w:ascii="Times New Roman" w:hAnsi="Times New Roman" w:cs="Times New Roman"/>
                <w:bCs/>
                <w:sz w:val="24"/>
                <w:szCs w:val="26"/>
              </w:rPr>
              <w:t>(h)м)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05A196" w14:textId="17154E7F" w:rsidR="0015799E" w:rsidRPr="000D7AF0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14A2E0" w14:textId="381F4150" w:rsidR="0015799E" w:rsidRPr="000D7AF0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799E" w:rsidRPr="002260BC" w14:paraId="40C7C80E" w14:textId="77777777" w:rsidTr="00B04CA0">
        <w:trPr>
          <w:trHeight w:val="20"/>
        </w:trPr>
        <w:tc>
          <w:tcPr>
            <w:tcW w:w="778" w:type="dxa"/>
            <w:vAlign w:val="center"/>
          </w:tcPr>
          <w:p w14:paraId="109B3567" w14:textId="41AEE290" w:rsidR="0015799E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022CF50" w14:textId="5D43722B" w:rsidR="0015799E" w:rsidRPr="004876B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33FAA">
              <w:rPr>
                <w:rFonts w:ascii="Times New Roman" w:hAnsi="Times New Roman" w:cs="Times New Roman"/>
                <w:b/>
                <w:sz w:val="24"/>
                <w:szCs w:val="24"/>
              </w:rPr>
              <w:t>Водовыпуск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7822B3" w14:textId="2C89817D" w:rsidR="0015799E" w:rsidRPr="002260BC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D829C9" w14:textId="5FADE07A" w:rsidR="0015799E" w:rsidRPr="002260BC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799E" w:rsidRPr="002260BC" w14:paraId="11A68779" w14:textId="77777777" w:rsidTr="00B04CA0">
        <w:trPr>
          <w:trHeight w:val="20"/>
        </w:trPr>
        <w:tc>
          <w:tcPr>
            <w:tcW w:w="778" w:type="dxa"/>
            <w:vAlign w:val="center"/>
          </w:tcPr>
          <w:p w14:paraId="4A9A2447" w14:textId="663B09AB" w:rsidR="0015799E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66EA4BE" w14:textId="427F0E3E" w:rsidR="0015799E" w:rsidRPr="00133FAA" w:rsidRDefault="0015799E" w:rsidP="001579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Ду1</w:t>
            </w: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00 хризотилцементная труба на ж/б основании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2C48C" w14:textId="2F373A3D" w:rsidR="0015799E" w:rsidRPr="00133FAA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2AF930" w14:textId="531ACB1D" w:rsidR="0015799E" w:rsidRDefault="0015799E" w:rsidP="001579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3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BB4A25E" w14:textId="5BC5EAA8" w:rsidR="002636AD" w:rsidRDefault="002636AD" w:rsidP="0082777D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DE126E6" w14:textId="0659F567" w:rsidR="002939E5" w:rsidRDefault="002939E5" w:rsidP="0082777D">
      <w:pPr>
        <w:pStyle w:val="a3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6DCFB3" w14:textId="721D8C80" w:rsidR="00CC1CCC" w:rsidRPr="0068010E" w:rsidRDefault="0050360D" w:rsidP="0082777D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Общие требования:</w:t>
      </w:r>
    </w:p>
    <w:p w14:paraId="4FC5CD0F" w14:textId="7E34A316" w:rsidR="00CC1CCC" w:rsidRPr="0050360D" w:rsidRDefault="00CC1CCC" w:rsidP="0082777D">
      <w:pPr>
        <w:pStyle w:val="a3"/>
        <w:widowControl w:val="0"/>
        <w:numPr>
          <w:ilvl w:val="1"/>
          <w:numId w:val="1"/>
        </w:numPr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360D">
        <w:rPr>
          <w:rFonts w:ascii="Times New Roman" w:eastAsia="Times New Roman" w:hAnsi="Times New Roman" w:cs="Times New Roman"/>
          <w:bCs/>
          <w:sz w:val="24"/>
          <w:szCs w:val="24"/>
        </w:rPr>
        <w:t>Возможность проведения работ – ежедневно.</w:t>
      </w:r>
    </w:p>
    <w:p w14:paraId="725899C7" w14:textId="28FDF731" w:rsidR="00CC1CCC" w:rsidRPr="0050360D" w:rsidRDefault="00CC1CCC" w:rsidP="0082777D">
      <w:pPr>
        <w:pStyle w:val="a3"/>
        <w:widowControl w:val="0"/>
        <w:numPr>
          <w:ilvl w:val="1"/>
          <w:numId w:val="1"/>
        </w:numPr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360D">
        <w:rPr>
          <w:rFonts w:ascii="Times New Roman" w:eastAsia="Times New Roman" w:hAnsi="Times New Roman" w:cs="Times New Roman"/>
          <w:bCs/>
          <w:sz w:val="24"/>
          <w:szCs w:val="24"/>
        </w:rPr>
        <w:t>Рабочая сила – граждане РФ и иностранные граждане, имеющие разрешение на работу.</w:t>
      </w:r>
    </w:p>
    <w:p w14:paraId="4C10659F" w14:textId="624EEB0A" w:rsidR="00CC1CCC" w:rsidRPr="00A25325" w:rsidRDefault="0050360D" w:rsidP="0082777D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5325">
        <w:rPr>
          <w:rFonts w:ascii="Times New Roman" w:eastAsia="Times New Roman" w:hAnsi="Times New Roman" w:cs="Times New Roman"/>
          <w:bCs/>
          <w:sz w:val="24"/>
          <w:szCs w:val="24"/>
        </w:rPr>
        <w:t xml:space="preserve">2.3. </w:t>
      </w:r>
      <w:r w:rsidR="00CC1CCC" w:rsidRPr="00A25325">
        <w:rPr>
          <w:rFonts w:ascii="Times New Roman" w:eastAsia="Times New Roman" w:hAnsi="Times New Roman" w:cs="Times New Roman"/>
          <w:bCs/>
          <w:sz w:val="24"/>
          <w:szCs w:val="24"/>
        </w:rPr>
        <w:t>Подрядчик принимает на себя</w:t>
      </w:r>
      <w:r w:rsidR="009B279E" w:rsidRPr="00A25325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следующие</w:t>
      </w:r>
      <w:r w:rsidR="00CC1CCC" w:rsidRPr="00A25325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обязательства:</w:t>
      </w:r>
    </w:p>
    <w:p w14:paraId="2CCAF726" w14:textId="77777777" w:rsidR="00A25325" w:rsidRPr="00A25325" w:rsidRDefault="00A25325" w:rsidP="00A253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5325">
        <w:rPr>
          <w:rFonts w:ascii="Times New Roman" w:eastAsia="Times New Roman" w:hAnsi="Times New Roman" w:cs="Times New Roman"/>
          <w:bCs/>
          <w:sz w:val="24"/>
          <w:szCs w:val="24"/>
        </w:rPr>
        <w:t xml:space="preserve">2.3.1. В случае необходимости, включая, но не ограничиваясь, </w:t>
      </w:r>
      <w:r w:rsidRPr="00A25325">
        <w:rPr>
          <w:rFonts w:ascii="Times New Roman" w:hAnsi="Times New Roman"/>
          <w:sz w:val="24"/>
        </w:rPr>
        <w:t>собственными силами</w:t>
      </w:r>
      <w:r w:rsidRPr="00A25325">
        <w:rPr>
          <w:rFonts w:ascii="Times New Roman" w:eastAsia="Times New Roman" w:hAnsi="Times New Roman" w:cs="Times New Roman"/>
          <w:bCs/>
          <w:sz w:val="24"/>
          <w:szCs w:val="24"/>
        </w:rPr>
        <w:t xml:space="preserve">: осуществить сбор всех исходных данных, получить все разрешения (в т.ч. разрешения на строительство, разрешения на ввод, заключения о соответствии (ЗОС), ордер ОАТИ), обеспечить разработку проекта производства Работ; обеспечить страхование; исполнить условия подключения и/или технические условия организаций, балансодержателей инженерных коммуникаций,  в том числе спецТУ у специализированных организаций; выполнить разработку </w:t>
      </w:r>
      <w:r w:rsidRPr="00A2532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документации для постановки земельного участка на кадастровый учет, осуществить технологическое присоединение к электрическим сетям; получить инженерно-топографические планы подземных коммуникаций, выполнение контрольно-геодезических съемок; получить реперные точки, вынос осей в натуру с закреплением реперных точек; осуществить технологическое присоединение к электрическим сетям обеспечить осуществление технического надзора с балансодержателями пересекаемых сетей и коммуникаций; заключить и исполнить соглашения о компенсации потерь с балансодержателями пересекаемых сетей и коммуникаций; получить порубочные билеты в департаменте природопользования и охраны окружающей среды города Москвы; обеспечить выполнение/выполнить работы в охранной зоне балансодержателей пересекаемых сетей и коммуникаций; также выполнить работы, хотя прямо и не обозначенных в Договоре и в Приложениях к Договору, однако являющиеся необходимыми или обычно производящиеся для обеспечения непрерывности или для завершения Работ.</w:t>
      </w:r>
    </w:p>
    <w:p w14:paraId="01784AC5" w14:textId="77777777" w:rsidR="00A25325" w:rsidRDefault="00A25325" w:rsidP="00A25325">
      <w:p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5325">
        <w:rPr>
          <w:rFonts w:ascii="Times New Roman" w:eastAsia="Times New Roman" w:hAnsi="Times New Roman" w:cs="Times New Roman"/>
          <w:bCs/>
          <w:sz w:val="24"/>
          <w:szCs w:val="24"/>
        </w:rPr>
        <w:t>2.3.2. В случае необходимости выполнения вышеуказанных мероприятий Подрядчик обязан письменно известить об этом Заказчика в течение 10 календарных дней с момента выявления необходимости проведения соответствующих мероприятий. При этом к извещению должны быть приложены документы, обосновывающие необходимость выполнения указанных работ/услуг, а также расчет их стоимости, либо иные документы, подтверждающие / обосновывающие их стоимость..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445B54CA" w14:textId="3ED77D29" w:rsidR="009B279E" w:rsidRDefault="005D1497" w:rsidP="0082777D">
      <w:p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5C45A4" w:rsidRPr="00742A65">
        <w:rPr>
          <w:rFonts w:ascii="Times New Roman" w:eastAsia="Times New Roman" w:hAnsi="Times New Roman" w:cs="Times New Roman"/>
          <w:bCs/>
          <w:sz w:val="24"/>
          <w:szCs w:val="24"/>
        </w:rPr>
        <w:t>аказчик в течение 10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него. Неполучение Подрядчиком письменного ответа Заказчика не является согласием Заказчика на оплату данн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 xml:space="preserve">ых расходов. </w:t>
      </w:r>
    </w:p>
    <w:p w14:paraId="4FB4ABDB" w14:textId="60721136" w:rsidR="009B279E" w:rsidRDefault="005C45A4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2A65">
        <w:rPr>
          <w:rFonts w:ascii="Times New Roman" w:eastAsia="Times New Roman" w:hAnsi="Times New Roman" w:cs="Times New Roman"/>
          <w:bCs/>
          <w:sz w:val="24"/>
          <w:szCs w:val="24"/>
        </w:rPr>
        <w:t>Подрядчик, своевременно не предупредивший Заказчика о необходимости выполнения вышеуказанных мероприятий, а равно выполнивший их при отсутствии соответствующего согласия Заказчика, не вправе требовать оплаты п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 xml:space="preserve">онесенных расходов (издержек). </w:t>
      </w:r>
    </w:p>
    <w:p w14:paraId="77D902D9" w14:textId="4DB87DDE" w:rsidR="009B279E" w:rsidRDefault="005C45A4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2A65">
        <w:rPr>
          <w:rFonts w:ascii="Times New Roman" w:eastAsia="Times New Roman" w:hAnsi="Times New Roman" w:cs="Times New Roman"/>
          <w:bCs/>
          <w:sz w:val="24"/>
          <w:szCs w:val="24"/>
        </w:rPr>
        <w:t>В случае, если в ходе строительства не возникнет необходимость в выполнении вышеуказанных мероприятий данные суммы не оплачиваются.</w:t>
      </w:r>
    </w:p>
    <w:p w14:paraId="32A13E93" w14:textId="6E3BB74C" w:rsidR="009B279E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2.3.3</w:t>
      </w:r>
      <w:r w:rsidR="005D149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EE234E" w:rsidRPr="00EE234E">
        <w:rPr>
          <w:rFonts w:ascii="Times New Roman" w:eastAsia="Times New Roman" w:hAnsi="Times New Roman" w:cs="Times New Roman"/>
          <w:bCs/>
          <w:sz w:val="24"/>
          <w:szCs w:val="24"/>
        </w:rPr>
        <w:t>В тех случаях, когда согласно действующему законодательству обращение за получением необходимых согласований, освидетельствований, лицензий, сер</w:t>
      </w:r>
      <w:r w:rsidR="00FF4AB9">
        <w:rPr>
          <w:rFonts w:ascii="Times New Roman" w:eastAsia="Times New Roman" w:hAnsi="Times New Roman" w:cs="Times New Roman"/>
          <w:bCs/>
          <w:sz w:val="24"/>
          <w:szCs w:val="24"/>
        </w:rPr>
        <w:t>…</w:t>
      </w:r>
      <w:r w:rsidR="00EE234E" w:rsidRPr="00EE234E">
        <w:rPr>
          <w:rFonts w:ascii="Times New Roman" w:eastAsia="Times New Roman" w:hAnsi="Times New Roman" w:cs="Times New Roman"/>
          <w:bCs/>
          <w:sz w:val="24"/>
          <w:szCs w:val="24"/>
        </w:rPr>
        <w:t>тификатов, гарантий, утверждений, разрешений возможно только по обращению Заказчика, Заказчик выдает Подрядчику доверенность на совер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>шение соответствующих действий.</w:t>
      </w:r>
    </w:p>
    <w:p w14:paraId="2DC084F6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2.3.4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EE234E" w:rsidRPr="00EE234E">
        <w:rPr>
          <w:rFonts w:ascii="Times New Roman" w:eastAsia="Times New Roman" w:hAnsi="Times New Roman" w:cs="Times New Roman"/>
          <w:bCs/>
          <w:sz w:val="24"/>
          <w:szCs w:val="24"/>
        </w:rPr>
        <w:t>Если в процессе рассмотрения запроса компетентными органами или организациями потребуется внесение каких-либо, обусловленных таким запросом, изме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>нений или исправлений в Работы/</w:t>
      </w:r>
      <w:r w:rsidR="00EE234E" w:rsidRPr="00EE234E">
        <w:rPr>
          <w:rFonts w:ascii="Times New Roman" w:eastAsia="Times New Roman" w:hAnsi="Times New Roman" w:cs="Times New Roman"/>
          <w:bCs/>
          <w:sz w:val="24"/>
          <w:szCs w:val="24"/>
        </w:rPr>
        <w:t>резу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>льтат Работ, Подрядчик обеспечивает</w:t>
      </w:r>
      <w:r w:rsidR="00EE234E" w:rsidRPr="00EE234E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внесение таких изменений или исправлений с одновременным уведомлением Заказчика</w:t>
      </w:r>
      <w:r w:rsidR="005D149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AD3A37D" w14:textId="74A55365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2.3.5. О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>беспечить выполняемый им объем работ материал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ами, изделиями и конструкциями.</w:t>
      </w:r>
    </w:p>
    <w:p w14:paraId="0844E3E2" w14:textId="2FB54583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2.3.6. О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>беспечить производство работ оборудованием и механизмами, инвентарными присп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особлениями, лесами, подмостями.</w:t>
      </w:r>
    </w:p>
    <w:p w14:paraId="597B850A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2.3.7. П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>ровести все необходимые исп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ытания и пусконаладочные работы.</w:t>
      </w:r>
    </w:p>
    <w:p w14:paraId="4F683224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2.3.8. О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>беспечить своих ра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бочих единообразной спецодеждой.</w:t>
      </w:r>
    </w:p>
    <w:p w14:paraId="5D9A4B20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2.3.9. С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>облюдать технику безопасности при производств</w:t>
      </w:r>
      <w:r w:rsidR="00211792" w:rsidRPr="0068010E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работ.</w:t>
      </w:r>
    </w:p>
    <w:p w14:paraId="21FEBE29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2.3.10. О</w:t>
      </w:r>
      <w:r w:rsidR="00CC1CCC" w:rsidRPr="0068010E">
        <w:rPr>
          <w:rFonts w:ascii="Times New Roman" w:eastAsia="Times New Roman" w:hAnsi="Times New Roman" w:cs="Times New Roman"/>
          <w:bCs/>
          <w:sz w:val="24"/>
          <w:szCs w:val="24"/>
        </w:rPr>
        <w:t xml:space="preserve">беспечить вывоз мусора и утилизацию отходов производства, образовавшихся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процессе выполняемых им работ.</w:t>
      </w:r>
    </w:p>
    <w:p w14:paraId="479613E6" w14:textId="77777777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2.3.11. П</w:t>
      </w:r>
      <w:r w:rsid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редоставлять 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Заказчику 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>выполненные строительно-монтажны</w:t>
      </w:r>
      <w:r w:rsidR="0077482C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>, пусконаладочны</w:t>
      </w:r>
      <w:r w:rsidR="0077482C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иные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работ</w:t>
      </w:r>
      <w:r w:rsidR="0077482C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их приемк</w:t>
      </w:r>
      <w:r w:rsidR="009B279E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 ежемесячно до 05 (пятого) числа каждого месяц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 за прошедший/ие месяц/периоды.</w:t>
      </w:r>
    </w:p>
    <w:p w14:paraId="6972EE47" w14:textId="4AF8626B" w:rsidR="00B1175E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2.3.12. П</w:t>
      </w:r>
      <w:r w:rsidR="00EE234E" w:rsidRPr="00B1175E">
        <w:rPr>
          <w:rFonts w:ascii="Times New Roman" w:eastAsia="Times New Roman" w:hAnsi="Times New Roman" w:cs="Times New Roman"/>
          <w:bCs/>
          <w:sz w:val="24"/>
          <w:szCs w:val="24"/>
        </w:rPr>
        <w:t>осле утверждения исполнительной документации Заказчиком обеспечи</w:t>
      </w:r>
      <w:r w:rsidR="0077482C">
        <w:rPr>
          <w:rFonts w:ascii="Times New Roman" w:eastAsia="Times New Roman" w:hAnsi="Times New Roman" w:cs="Times New Roman"/>
          <w:bCs/>
          <w:sz w:val="24"/>
          <w:szCs w:val="24"/>
        </w:rPr>
        <w:t>ть</w:t>
      </w:r>
      <w:r w:rsidR="00EE234E" w:rsidRP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предоставление такой документации в Ростехнадзор и во все иные заинтересованные организации. После чего, Подрядчик обязан передать Заказчику исполнительную документацию в электронном виде в формате *pdf и в трех экземплярах на бумажном носителе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3E787A4" w14:textId="14C9C9C5" w:rsidR="00D023E0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2.3.13. В</w:t>
      </w:r>
      <w:r w:rsidR="00B1175E" w:rsidRPr="00B1175E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срок не позднее 15 календарных дней с момента подписания последнего акта КС-2, обязуется передать на проверку Заказчику Акт законченного строительством объекта (КС-11)</w:t>
      </w:r>
      <w:r w:rsidR="00EE234E" w:rsidRPr="00B1175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278091C" w14:textId="322DB8EF" w:rsidR="00846DD4" w:rsidRPr="00D023E0" w:rsidRDefault="00846DD4" w:rsidP="00846DD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Перечень материалов, поставляемых Зак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азчиком  (на основании Приказа </w:t>
      </w: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ПАО «М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ОЭК» от 10.09.2018 № П-301/18)</w:t>
      </w: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 xml:space="preserve"> уто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чняется при заключении договора: в соответствии с утвержденной проектно-сметной документацией.</w:t>
      </w:r>
    </w:p>
    <w:p w14:paraId="52022720" w14:textId="77777777" w:rsidR="00846DD4" w:rsidRPr="00D023E0" w:rsidRDefault="00846DD4" w:rsidP="00846DD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Перечень давальческих материалов:</w:t>
      </w:r>
    </w:p>
    <w:p w14:paraId="37A3DA0F" w14:textId="77777777" w:rsidR="00846DD4" w:rsidRPr="00D023E0" w:rsidRDefault="00846DD4" w:rsidP="00846DD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- Запорно-регулирующая арматура импортная диаметром свыше Ду 500;</w:t>
      </w:r>
    </w:p>
    <w:p w14:paraId="23F13D5B" w14:textId="77777777" w:rsidR="00846DD4" w:rsidRPr="00D023E0" w:rsidRDefault="00846DD4" w:rsidP="00846DD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- Труба из сшитого полиэтилена, а также комплектующие к ней;</w:t>
      </w:r>
    </w:p>
    <w:p w14:paraId="78CB7F9B" w14:textId="77777777" w:rsidR="00846DD4" w:rsidRDefault="00846DD4" w:rsidP="00846DD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3E0">
        <w:rPr>
          <w:rFonts w:ascii="Times New Roman" w:eastAsia="Times New Roman" w:hAnsi="Times New Roman" w:cs="Times New Roman"/>
          <w:bCs/>
          <w:sz w:val="24"/>
          <w:szCs w:val="24"/>
        </w:rPr>
        <w:t>- Труба в пенополиуретановой изоляции, а также комплектующие к ней, в том числе фасонные изделия и запорная арматура в пенополиуретановой изоляции.</w:t>
      </w:r>
    </w:p>
    <w:p w14:paraId="6AFD8B1D" w14:textId="41A2D006" w:rsidR="00D023E0" w:rsidRPr="00CE6978" w:rsidRDefault="00D023E0" w:rsidP="0082777D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2.4. </w:t>
      </w:r>
      <w:r w:rsidR="00CC1CCC" w:rsidRPr="0068010E">
        <w:rPr>
          <w:rFonts w:ascii="Times New Roman" w:eastAsia="Times New Roman" w:hAnsi="Times New Roman" w:cs="Times New Roman"/>
          <w:sz w:val="24"/>
          <w:szCs w:val="24"/>
        </w:rPr>
        <w:t>Цель выполняемых работ,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 xml:space="preserve"> основание для выполнения работ:</w:t>
      </w:r>
      <w:r w:rsidR="00CE69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д</w:t>
      </w:r>
      <w:r w:rsidR="00CC1CCC" w:rsidRPr="0068010E">
        <w:rPr>
          <w:rFonts w:ascii="Times New Roman" w:eastAsia="Times New Roman" w:hAnsi="Times New Roman" w:cs="Times New Roman"/>
          <w:sz w:val="24"/>
          <w:szCs w:val="24"/>
        </w:rPr>
        <w:t xml:space="preserve">оговор о подключении к системам теплоснабжения 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15799E">
        <w:rPr>
          <w:rFonts w:ascii="Times New Roman" w:hAnsi="Times New Roman"/>
          <w:sz w:val="24"/>
          <w:szCs w:val="24"/>
        </w:rPr>
        <w:t>20.09</w:t>
      </w:r>
      <w:r w:rsidR="007E0F65">
        <w:rPr>
          <w:rFonts w:ascii="Times New Roman" w:hAnsi="Times New Roman"/>
          <w:sz w:val="24"/>
          <w:szCs w:val="24"/>
        </w:rPr>
        <w:t>.2017 № 10-11/17</w:t>
      </w:r>
      <w:r w:rsidR="009E469F">
        <w:rPr>
          <w:rFonts w:ascii="Times New Roman" w:hAnsi="Times New Roman"/>
          <w:sz w:val="24"/>
          <w:szCs w:val="24"/>
        </w:rPr>
        <w:t>-</w:t>
      </w:r>
      <w:r w:rsidR="0015799E">
        <w:rPr>
          <w:rFonts w:ascii="Times New Roman" w:hAnsi="Times New Roman"/>
          <w:sz w:val="24"/>
          <w:szCs w:val="24"/>
        </w:rPr>
        <w:t>533</w:t>
      </w:r>
      <w:r w:rsidR="00566D06" w:rsidRPr="00DE6287">
        <w:rPr>
          <w:rFonts w:ascii="Times New Roman" w:hAnsi="Times New Roman"/>
          <w:sz w:val="24"/>
          <w:szCs w:val="24"/>
        </w:rPr>
        <w:t xml:space="preserve">, </w:t>
      </w:r>
      <w:r w:rsidR="00CC1CCC" w:rsidRPr="00DE6287">
        <w:rPr>
          <w:rFonts w:ascii="Times New Roman" w:eastAsia="Times New Roman" w:hAnsi="Times New Roman" w:cs="Times New Roman"/>
          <w:sz w:val="24"/>
          <w:szCs w:val="24"/>
        </w:rPr>
        <w:t>настоящее техническое задание.</w:t>
      </w:r>
    </w:p>
    <w:p w14:paraId="20E574AC" w14:textId="4A8EF616" w:rsidR="00A801BE" w:rsidRPr="00A801BE" w:rsidRDefault="00CC1CCC" w:rsidP="0082777D">
      <w:pPr>
        <w:widowControl w:val="0"/>
        <w:numPr>
          <w:ilvl w:val="1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10E">
        <w:rPr>
          <w:rFonts w:ascii="Times New Roman" w:eastAsia="Times New Roman" w:hAnsi="Times New Roman" w:cs="Times New Roman"/>
          <w:sz w:val="24"/>
          <w:szCs w:val="24"/>
        </w:rPr>
        <w:t>Требо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вания к срокам выполнения работ:</w:t>
      </w:r>
      <w:r w:rsidR="00A801BE">
        <w:rPr>
          <w:rFonts w:ascii="Times New Roman" w:eastAsia="Times New Roman" w:hAnsi="Times New Roman" w:cs="Times New Roman"/>
          <w:sz w:val="24"/>
          <w:szCs w:val="24"/>
        </w:rPr>
        <w:t xml:space="preserve"> Работы выполняются Подрядчиком в соответствии с Графиком производства работ, являющимся обязательным приложением к Договору.</w:t>
      </w:r>
    </w:p>
    <w:p w14:paraId="51AB4071" w14:textId="77777777" w:rsidR="00CE6978" w:rsidRDefault="00CC1CCC" w:rsidP="0082777D">
      <w:pPr>
        <w:pStyle w:val="a3"/>
        <w:widowControl w:val="0"/>
        <w:numPr>
          <w:ilvl w:val="1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Требования к применяемым с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тандартам, СНиП и иным правилам:</w:t>
      </w:r>
    </w:p>
    <w:p w14:paraId="5B365050" w14:textId="77777777" w:rsid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</w:r>
    </w:p>
    <w:p w14:paraId="78507DDB" w14:textId="675E3A53" w:rsidR="00CC1CCC" w:rsidRP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Качество работ и объём контроля качества работ должны соответствовать требованиям СП 48.13330.2011 «Организация строительства» и требованиям Постановлением от 19.05.2015 </w:t>
      </w:r>
      <w:r w:rsidR="00791B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t>№ 299-ПП «Об утверждении Правил проведения земляных работ, установки временных ограждений, размещения временных объектов в г. Москве».</w:t>
      </w:r>
    </w:p>
    <w:p w14:paraId="41E591C1" w14:textId="77777777" w:rsidR="00CE6978" w:rsidRDefault="00CC1CCC" w:rsidP="0082777D">
      <w:pPr>
        <w:widowControl w:val="0"/>
        <w:numPr>
          <w:ilvl w:val="1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10E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 xml:space="preserve"> к организации работ:</w:t>
      </w:r>
    </w:p>
    <w:p w14:paraId="532DA7A8" w14:textId="77777777" w:rsid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ов капитального строительства».</w:t>
      </w:r>
    </w:p>
    <w:p w14:paraId="5CB0288D" w14:textId="77777777" w:rsid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</w:r>
    </w:p>
    <w:p w14:paraId="25C277BA" w14:textId="7AA9BC77" w:rsidR="00CC1CCC" w:rsidRP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</w:r>
    </w:p>
    <w:p w14:paraId="3077EDBE" w14:textId="70B5F09E" w:rsidR="00CC1CCC" w:rsidRPr="00CE6978" w:rsidRDefault="00CC1CCC" w:rsidP="0082777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календарный план производства работ по объекту;</w:t>
      </w:r>
    </w:p>
    <w:p w14:paraId="03E85D55" w14:textId="314364C8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строительный генеральный план;</w:t>
      </w:r>
    </w:p>
    <w:p w14:paraId="0451280D" w14:textId="0D3A4BEC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график поступления на объект строительных конструкций, изделий, материалов и оборудования;</w:t>
      </w:r>
    </w:p>
    <w:p w14:paraId="387A279B" w14:textId="0BC4A936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график движения рабочих кадров по объекту;</w:t>
      </w:r>
    </w:p>
    <w:p w14:paraId="414E3795" w14:textId="1321FAF7" w:rsidR="00CC1CCC" w:rsidRPr="00CE6978" w:rsidRDefault="00CE6978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рафик движения основных строительных машин по объекту;</w:t>
      </w:r>
    </w:p>
    <w:p w14:paraId="70B71389" w14:textId="771E2180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технологические карты на выполнение видов работ;</w:t>
      </w:r>
    </w:p>
    <w:p w14:paraId="3A7568C1" w14:textId="4B8CF4E1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схемы размещения геодезических знаков;</w:t>
      </w:r>
    </w:p>
    <w:p w14:paraId="454082DD" w14:textId="4C09381E" w:rsidR="00CC1CCC" w:rsidRPr="00CE6978" w:rsidRDefault="00CC1CCC" w:rsidP="0082777D">
      <w:pPr>
        <w:pStyle w:val="a3"/>
        <w:widowControl w:val="0"/>
        <w:numPr>
          <w:ilvl w:val="0"/>
          <w:numId w:val="6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пояснительную записку, содержащую решения по производству геодезических работ, 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lastRenderedPageBreak/>
        <w:t>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</w:r>
    </w:p>
    <w:p w14:paraId="076055DE" w14:textId="77777777" w:rsid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</w:r>
    </w:p>
    <w:p w14:paraId="507A9A22" w14:textId="7BB5DE15" w:rsidR="00CE6978" w:rsidRDefault="00CC1CCC" w:rsidP="000F7613">
      <w:pPr>
        <w:pStyle w:val="a3"/>
        <w:widowControl w:val="0"/>
        <w:numPr>
          <w:ilvl w:val="2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После окончания комплекса работ передать исполнительную документацию в соответствии с </w:t>
      </w:r>
      <w:r w:rsidRPr="0086253B">
        <w:rPr>
          <w:rFonts w:ascii="Times New Roman" w:eastAsia="Times New Roman" w:hAnsi="Times New Roman" w:cs="Times New Roman"/>
          <w:sz w:val="24"/>
          <w:szCs w:val="24"/>
        </w:rPr>
        <w:t xml:space="preserve">Регламентом ПАО «МОЭК» </w:t>
      </w:r>
      <w:r w:rsidR="000F7613" w:rsidRPr="000F7613">
        <w:rPr>
          <w:rFonts w:ascii="Times New Roman" w:eastAsia="Times New Roman" w:hAnsi="Times New Roman" w:cs="Times New Roman"/>
          <w:sz w:val="24"/>
          <w:szCs w:val="24"/>
        </w:rPr>
        <w:t>от 05.06.2018 № П-193/18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</w:r>
    </w:p>
    <w:p w14:paraId="2754435C" w14:textId="7A02977D" w:rsidR="00CC1CCC" w:rsidRPr="00CE6978" w:rsidRDefault="00CC1CCC" w:rsidP="0082777D">
      <w:pPr>
        <w:pStyle w:val="a3"/>
        <w:widowControl w:val="0"/>
        <w:numPr>
          <w:ilvl w:val="2"/>
          <w:numId w:val="4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</w:r>
    </w:p>
    <w:p w14:paraId="7508E685" w14:textId="01F7D054" w:rsidR="00CE6978" w:rsidRDefault="00CE6978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урнал учета выполненных работ (форма № КС-6а)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717E1BD" w14:textId="2FB6D07D" w:rsidR="00CC1CCC" w:rsidRPr="00CE6978" w:rsidRDefault="00CE6978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Общий журнал работ (форма № КС-6);</w:t>
      </w:r>
    </w:p>
    <w:p w14:paraId="6A3C0E36" w14:textId="5C6ACF21" w:rsidR="00CC1CCC" w:rsidRPr="00CE6978" w:rsidRDefault="00CE6978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кт о приемке выполненных работ (форма № КС-2)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 xml:space="preserve"> завизированный Подрядчиком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 xml:space="preserve"> с обязательным приложением актов на скрытые </w:t>
      </w:r>
      <w:r w:rsidR="0068010E" w:rsidRPr="00CE6978"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работ;</w:t>
      </w:r>
    </w:p>
    <w:p w14:paraId="1CFA25E1" w14:textId="393254DE" w:rsidR="00CC1CCC" w:rsidRPr="00CE6978" w:rsidRDefault="00CE6978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правку о стоимости выполненных работ и затрат (форма № КС-3);</w:t>
      </w:r>
    </w:p>
    <w:p w14:paraId="438BF0AB" w14:textId="1697AB7D" w:rsidR="00CC1CCC" w:rsidRPr="00CE6978" w:rsidRDefault="0086253B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53B">
        <w:rPr>
          <w:rFonts w:ascii="Times New Roman" w:eastAsia="Times New Roman" w:hAnsi="Times New Roman" w:cs="Times New Roman"/>
          <w:sz w:val="24"/>
          <w:szCs w:val="24"/>
        </w:rPr>
        <w:t xml:space="preserve">Акт комплексного опробования тепловых энергоустановок 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3 экземпляра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х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(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представляются в течение 3 дней после окончания работ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)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9CB858" w14:textId="702FE6A6" w:rsidR="00CC1CCC" w:rsidRPr="00CE6978" w:rsidRDefault="00CC1CCC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ыполненных работ (форма № КС-3);</w:t>
      </w:r>
    </w:p>
    <w:p w14:paraId="1958FB36" w14:textId="1ED4F94B" w:rsidR="00CC1CCC" w:rsidRPr="00CE6978" w:rsidRDefault="00CC1CCC" w:rsidP="0082777D">
      <w:pPr>
        <w:pStyle w:val="a3"/>
        <w:widowControl w:val="0"/>
        <w:numPr>
          <w:ilvl w:val="0"/>
          <w:numId w:val="7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По з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авершении работ в полном объеме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 Подрядчик оформляет Акт приемки законченного строительством объекта по форме № КС-11.</w:t>
      </w:r>
    </w:p>
    <w:p w14:paraId="05AA0809" w14:textId="3B22EE07" w:rsidR="00CC1CCC" w:rsidRPr="0068010E" w:rsidRDefault="00CC1CCC" w:rsidP="0082777D">
      <w:pPr>
        <w:widowControl w:val="0"/>
        <w:numPr>
          <w:ilvl w:val="1"/>
          <w:numId w:val="4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10E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обеспечению техники безопасности при проведении работ, пожарной </w:t>
      </w:r>
      <w:r w:rsidR="00CE6978">
        <w:rPr>
          <w:rFonts w:ascii="Times New Roman" w:eastAsia="Times New Roman" w:hAnsi="Times New Roman" w:cs="Times New Roman"/>
          <w:sz w:val="24"/>
          <w:szCs w:val="24"/>
        </w:rPr>
        <w:t>безопасности:</w:t>
      </w:r>
    </w:p>
    <w:p w14:paraId="6702E455" w14:textId="12F9E0B2" w:rsidR="00CC1CCC" w:rsidRPr="0068010E" w:rsidRDefault="00CE6978" w:rsidP="0082777D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2.8.1. </w:t>
      </w:r>
      <w:r w:rsidR="00CC1CCC" w:rsidRPr="0068010E">
        <w:rPr>
          <w:rFonts w:ascii="Times New Roman" w:eastAsia="Times New Roman" w:hAnsi="Times New Roman" w:cs="Times New Roman"/>
          <w:sz w:val="24"/>
          <w:szCs w:val="24"/>
        </w:rPr>
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</w:r>
    </w:p>
    <w:p w14:paraId="74FE9161" w14:textId="3B60B5DF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Технический регламент о требованиях пожарной безопасности № 123-ФЗ от 22 июля 2008;</w:t>
      </w:r>
    </w:p>
    <w:p w14:paraId="651C23C8" w14:textId="04D05F24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СП 12-136-2002 </w:t>
      </w:r>
      <w:r w:rsidR="00791B1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t>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</w:t>
      </w:r>
      <w:r w:rsidR="00791B1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3959F14" w14:textId="4BC5BEAA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ППР-2012 «Правила противопожарного режима в Российской Федерации»; </w:t>
      </w:r>
    </w:p>
    <w:p w14:paraId="1E047991" w14:textId="65CA75AD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СП 48.13330.2011 «Организация строительства» (Актуализированная редакция СНиП 12-01-2004);</w:t>
      </w:r>
    </w:p>
    <w:p w14:paraId="2CB8651A" w14:textId="69F4F13A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СНиП 12-03-2001 «Безопасность труда в строительстве». Часть 1.</w:t>
      </w:r>
    </w:p>
    <w:p w14:paraId="390B5D7A" w14:textId="7DD0B3E1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СНиП 12-04-2002 «Безопасность труда в строительстве». Часть 2.</w:t>
      </w:r>
    </w:p>
    <w:p w14:paraId="040DF2A8" w14:textId="51C792C8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 xml:space="preserve">СП 2.6.1.2612-10 (ОСПОРБ-99/2010) «Основные санитарные правила обеспечения </w:t>
      </w:r>
      <w:r w:rsidRPr="00CE6978">
        <w:rPr>
          <w:rFonts w:ascii="Times New Roman" w:eastAsia="Times New Roman" w:hAnsi="Times New Roman" w:cs="Times New Roman"/>
          <w:sz w:val="24"/>
          <w:szCs w:val="24"/>
        </w:rPr>
        <w:lastRenderedPageBreak/>
        <w:t>радиационной безопасности»,</w:t>
      </w:r>
    </w:p>
    <w:p w14:paraId="2622C8A3" w14:textId="532439F7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СНиП 3.03.01-87 «Несущие и ограждающие конструкции»,</w:t>
      </w:r>
    </w:p>
    <w:p w14:paraId="1F77D222" w14:textId="72E0D6B0" w:rsidR="00CC1CCC" w:rsidRPr="00CE6978" w:rsidRDefault="00CC1CCC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978">
        <w:rPr>
          <w:rFonts w:ascii="Times New Roman" w:eastAsia="Times New Roman" w:hAnsi="Times New Roman" w:cs="Times New Roman"/>
          <w:sz w:val="24"/>
          <w:szCs w:val="24"/>
        </w:rPr>
        <w:t>ГОСТ 23407-78 «Ограждения инвентарные строительных площадок и участков производства работ»;</w:t>
      </w:r>
    </w:p>
    <w:p w14:paraId="52C52FAD" w14:textId="1A14F029" w:rsidR="00CC1CCC" w:rsidRPr="00CE6978" w:rsidRDefault="00791B16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B16">
        <w:rPr>
          <w:rFonts w:ascii="Times New Roman" w:eastAsia="Times New Roman" w:hAnsi="Times New Roman" w:cs="Times New Roman"/>
          <w:sz w:val="24"/>
          <w:szCs w:val="24"/>
        </w:rPr>
        <w:t xml:space="preserve">ГОСТ 12.1.046-2014 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«Нормы освещения строительных площадок»;</w:t>
      </w:r>
    </w:p>
    <w:p w14:paraId="71C2EB11" w14:textId="5A3D6072" w:rsidR="00CC1CCC" w:rsidRPr="00CE6978" w:rsidRDefault="00791B16" w:rsidP="0082777D">
      <w:pPr>
        <w:pStyle w:val="a3"/>
        <w:widowControl w:val="0"/>
        <w:numPr>
          <w:ilvl w:val="0"/>
          <w:numId w:val="8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ППБ 01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93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 xml:space="preserve"> «Правила пожарной безопасности </w:t>
      </w:r>
      <w:r>
        <w:rPr>
          <w:rFonts w:ascii="Times New Roman" w:eastAsia="Times New Roman" w:hAnsi="Times New Roman" w:cs="Times New Roman"/>
          <w:sz w:val="24"/>
          <w:szCs w:val="24"/>
        </w:rPr>
        <w:t>в Российской Федерации</w:t>
      </w:r>
      <w:r w:rsidR="00CC1CCC" w:rsidRPr="00CE6978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5DC0E89B" w14:textId="6DDA0F6B" w:rsidR="00CC1CCC" w:rsidRDefault="00CC1CCC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10E">
        <w:rPr>
          <w:rFonts w:ascii="Times New Roman" w:eastAsia="Times New Roman" w:hAnsi="Times New Roman" w:cs="Times New Roman"/>
          <w:sz w:val="24"/>
          <w:szCs w:val="24"/>
        </w:rPr>
        <w:t>За нарушение условий Технического задания, повлекшие ухудшение результата выполненных работ, Заказчик вправе потребовать от Подрядчика безвозмездного устранения дефектов и недостатков в сроки, установленные Заказчиком либо соразмерного уменьшения стоимости Работ.</w:t>
      </w:r>
    </w:p>
    <w:p w14:paraId="1C67A7D2" w14:textId="77777777" w:rsidR="004208EB" w:rsidRDefault="004208EB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Подрядчик </w:t>
      </w:r>
      <w:r w:rsidR="00CC1CCC" w:rsidRPr="004208EB">
        <w:rPr>
          <w:rFonts w:ascii="Times New Roman" w:eastAsia="Times New Roman" w:hAnsi="Times New Roman" w:cs="Times New Roman"/>
          <w:sz w:val="24"/>
          <w:szCs w:val="24"/>
        </w:rPr>
        <w:t>отвечает за соответствие качества материалов, применяемых при производстве работ, государственным стандартам и техническим условиям и несет риск убытков, связанных с их ненадлежащим качеством.</w:t>
      </w:r>
    </w:p>
    <w:p w14:paraId="2A537BDD" w14:textId="77777777" w:rsidR="004208EB" w:rsidRDefault="004208EB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="00CC1CCC" w:rsidRPr="004208EB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 за ущерб, причиненный в ходе выполнения работ людям, зданиям, оборудованию, за соблюдение требований охраны труда, пожарной и промышленной безопасности в процессе производства работ.</w:t>
      </w:r>
    </w:p>
    <w:p w14:paraId="3362ACFD" w14:textId="77777777" w:rsidR="004208EB" w:rsidRDefault="004208EB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="00CC1CCC" w:rsidRPr="004208EB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 за убытки, понесенные Заказчиком вследствие простоя производства (оборудования) по причине неисполнения либо ненадлежащего исполнения </w:t>
      </w:r>
      <w:r>
        <w:rPr>
          <w:rFonts w:ascii="Times New Roman" w:eastAsia="Times New Roman" w:hAnsi="Times New Roman" w:cs="Times New Roman"/>
          <w:sz w:val="24"/>
          <w:szCs w:val="24"/>
        </w:rPr>
        <w:t>Подрядчиком</w:t>
      </w:r>
      <w:r w:rsidR="00CC1CCC" w:rsidRPr="004208EB">
        <w:rPr>
          <w:rFonts w:ascii="Times New Roman" w:eastAsia="Times New Roman" w:hAnsi="Times New Roman" w:cs="Times New Roman"/>
          <w:sz w:val="24"/>
          <w:szCs w:val="24"/>
        </w:rPr>
        <w:t xml:space="preserve"> своих обязательств по настоящему Техническому заданию.</w:t>
      </w:r>
    </w:p>
    <w:p w14:paraId="450879F1" w14:textId="77777777" w:rsidR="004208EB" w:rsidRDefault="00CC1CCC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08EB">
        <w:rPr>
          <w:rFonts w:ascii="Times New Roman" w:eastAsia="Times New Roman" w:hAnsi="Times New Roman" w:cs="Times New Roman"/>
          <w:sz w:val="24"/>
          <w:szCs w:val="24"/>
        </w:rPr>
        <w:t>Подрядчик, не предупредивший Заказчика о необходимости выполнения дополнительных работ, не учтенных в Техническом задании, которые могут повлиять на работоспособность оборудования, а также об иных обстоятельствах, которые грозят годности или прочности результатов выполняемой работы, либо создают невозможность ее завершения в срок, либо продолживший работу, несмотря на своевременное указание Заказчика о прекращении работы, обязан возместить в полном объеме убытки, причинённые Заказчику.</w:t>
      </w:r>
    </w:p>
    <w:p w14:paraId="093BFCE1" w14:textId="744D21AF" w:rsidR="00CC1CCC" w:rsidRDefault="00CC1CCC" w:rsidP="0082777D">
      <w:pPr>
        <w:widowControl w:val="0"/>
        <w:numPr>
          <w:ilvl w:val="1"/>
          <w:numId w:val="4"/>
        </w:num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08EB">
        <w:rPr>
          <w:rFonts w:ascii="Times New Roman" w:eastAsia="Times New Roman" w:hAnsi="Times New Roman" w:cs="Times New Roman"/>
          <w:sz w:val="24"/>
          <w:szCs w:val="24"/>
        </w:rPr>
        <w:t>Уплата неустойки и возмещение убытков не освобождает Подрядчика от исполнения работ по Техническому заданию и устранению нарушений.</w:t>
      </w:r>
    </w:p>
    <w:p w14:paraId="06FCFF33" w14:textId="77777777" w:rsidR="001A7D7D" w:rsidRDefault="001A7D7D" w:rsidP="0082777D">
      <w:pPr>
        <w:widowControl w:val="0"/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1220E6" w14:textId="55649716" w:rsidR="006E10A2" w:rsidRPr="004208EB" w:rsidRDefault="006E10A2" w:rsidP="0082777D">
      <w:pPr>
        <w:widowControl w:val="0"/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6E10A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пользовании данным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Техническим заданием </w:t>
      </w:r>
      <w:r w:rsidRPr="006E10A2">
        <w:rPr>
          <w:rFonts w:ascii="Times New Roman" w:eastAsia="Times New Roman" w:hAnsi="Times New Roman" w:cs="Times New Roman"/>
          <w:i/>
          <w:sz w:val="24"/>
          <w:szCs w:val="24"/>
        </w:rPr>
        <w:t>целесообразно проверить действие ссылочных стандартов. 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</w:t>
      </w:r>
      <w:bookmarkStart w:id="0" w:name="_GoBack"/>
      <w:bookmarkEnd w:id="0"/>
    </w:p>
    <w:sectPr w:rsidR="006E10A2" w:rsidRPr="004208EB" w:rsidSect="004208EB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403A3" w14:textId="77777777" w:rsidR="007E0F65" w:rsidRDefault="007E0F65" w:rsidP="002636AD">
      <w:pPr>
        <w:spacing w:after="0" w:line="240" w:lineRule="auto"/>
      </w:pPr>
      <w:r>
        <w:separator/>
      </w:r>
    </w:p>
  </w:endnote>
  <w:endnote w:type="continuationSeparator" w:id="0">
    <w:p w14:paraId="1C1A618B" w14:textId="77777777" w:rsidR="007E0F65" w:rsidRDefault="007E0F65" w:rsidP="00263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69BDE" w14:textId="77777777" w:rsidR="007E0F65" w:rsidRDefault="007E0F65" w:rsidP="002636AD">
      <w:pPr>
        <w:spacing w:after="0" w:line="240" w:lineRule="auto"/>
      </w:pPr>
      <w:r>
        <w:separator/>
      </w:r>
    </w:p>
  </w:footnote>
  <w:footnote w:type="continuationSeparator" w:id="0">
    <w:p w14:paraId="463E4D91" w14:textId="77777777" w:rsidR="007E0F65" w:rsidRDefault="007E0F65" w:rsidP="00263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77365C"/>
    <w:multiLevelType w:val="hybridMultilevel"/>
    <w:tmpl w:val="4A667E84"/>
    <w:lvl w:ilvl="0" w:tplc="31749E7E">
      <w:start w:val="1"/>
      <w:numFmt w:val="bullet"/>
      <w:suff w:val="space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D15191"/>
    <w:multiLevelType w:val="multilevel"/>
    <w:tmpl w:val="322C15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0825D27"/>
    <w:multiLevelType w:val="hybridMultilevel"/>
    <w:tmpl w:val="D2E05338"/>
    <w:lvl w:ilvl="0" w:tplc="31749E7E">
      <w:start w:val="1"/>
      <w:numFmt w:val="bullet"/>
      <w:suff w:val="space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D05E22"/>
    <w:multiLevelType w:val="multilevel"/>
    <w:tmpl w:val="3022E7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  <w:i w:val="0"/>
      </w:rPr>
    </w:lvl>
  </w:abstractNum>
  <w:abstractNum w:abstractNumId="5" w15:restartNumberingAfterBreak="0">
    <w:nsid w:val="461149E7"/>
    <w:multiLevelType w:val="hybridMultilevel"/>
    <w:tmpl w:val="AE3CA800"/>
    <w:lvl w:ilvl="0" w:tplc="31749E7E">
      <w:start w:val="1"/>
      <w:numFmt w:val="bullet"/>
      <w:suff w:val="space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0825D4"/>
    <w:multiLevelType w:val="hybridMultilevel"/>
    <w:tmpl w:val="BD0CEC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B0C59C5"/>
    <w:multiLevelType w:val="multilevel"/>
    <w:tmpl w:val="683414F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86"/>
    <w:rsid w:val="0000106B"/>
    <w:rsid w:val="00001A69"/>
    <w:rsid w:val="0000398D"/>
    <w:rsid w:val="00030C31"/>
    <w:rsid w:val="000A4E65"/>
    <w:rsid w:val="000C7EF2"/>
    <w:rsid w:val="000D32BE"/>
    <w:rsid w:val="000F699C"/>
    <w:rsid w:val="000F7613"/>
    <w:rsid w:val="00133E57"/>
    <w:rsid w:val="001508CB"/>
    <w:rsid w:val="0015799E"/>
    <w:rsid w:val="001A51B2"/>
    <w:rsid w:val="001A7D7D"/>
    <w:rsid w:val="001C6246"/>
    <w:rsid w:val="001D198E"/>
    <w:rsid w:val="00211792"/>
    <w:rsid w:val="002636AD"/>
    <w:rsid w:val="00264E09"/>
    <w:rsid w:val="00267FC6"/>
    <w:rsid w:val="002939E5"/>
    <w:rsid w:val="002B1EE4"/>
    <w:rsid w:val="002C46F5"/>
    <w:rsid w:val="002F1C15"/>
    <w:rsid w:val="003127AA"/>
    <w:rsid w:val="00344824"/>
    <w:rsid w:val="00353698"/>
    <w:rsid w:val="003A0B09"/>
    <w:rsid w:val="00406DCE"/>
    <w:rsid w:val="004208EB"/>
    <w:rsid w:val="004559B7"/>
    <w:rsid w:val="004710FC"/>
    <w:rsid w:val="00497365"/>
    <w:rsid w:val="004B172E"/>
    <w:rsid w:val="004E7727"/>
    <w:rsid w:val="004F5991"/>
    <w:rsid w:val="0050360D"/>
    <w:rsid w:val="00511E18"/>
    <w:rsid w:val="005213CE"/>
    <w:rsid w:val="005425F4"/>
    <w:rsid w:val="00566D06"/>
    <w:rsid w:val="005C01DA"/>
    <w:rsid w:val="005C45A4"/>
    <w:rsid w:val="005C609D"/>
    <w:rsid w:val="005D1497"/>
    <w:rsid w:val="005E187C"/>
    <w:rsid w:val="0060177D"/>
    <w:rsid w:val="00603630"/>
    <w:rsid w:val="00605564"/>
    <w:rsid w:val="00606BD5"/>
    <w:rsid w:val="006206D7"/>
    <w:rsid w:val="006454B3"/>
    <w:rsid w:val="006619C1"/>
    <w:rsid w:val="0067252C"/>
    <w:rsid w:val="0068010E"/>
    <w:rsid w:val="006B498E"/>
    <w:rsid w:val="006D20BE"/>
    <w:rsid w:val="006D5609"/>
    <w:rsid w:val="006D65DA"/>
    <w:rsid w:val="006E10A2"/>
    <w:rsid w:val="00702B07"/>
    <w:rsid w:val="007221A8"/>
    <w:rsid w:val="00742A65"/>
    <w:rsid w:val="00745C36"/>
    <w:rsid w:val="00750E74"/>
    <w:rsid w:val="00762B08"/>
    <w:rsid w:val="0077482C"/>
    <w:rsid w:val="00791B16"/>
    <w:rsid w:val="007A0A4A"/>
    <w:rsid w:val="007A233A"/>
    <w:rsid w:val="007A7ABB"/>
    <w:rsid w:val="007D3F68"/>
    <w:rsid w:val="007E0F65"/>
    <w:rsid w:val="0082777D"/>
    <w:rsid w:val="00846DD4"/>
    <w:rsid w:val="0086253B"/>
    <w:rsid w:val="00870FD1"/>
    <w:rsid w:val="00871E34"/>
    <w:rsid w:val="008946FF"/>
    <w:rsid w:val="008A7052"/>
    <w:rsid w:val="008E6486"/>
    <w:rsid w:val="008F331F"/>
    <w:rsid w:val="008F75A7"/>
    <w:rsid w:val="00923A33"/>
    <w:rsid w:val="009539CE"/>
    <w:rsid w:val="00981C08"/>
    <w:rsid w:val="009B279E"/>
    <w:rsid w:val="009E469F"/>
    <w:rsid w:val="009F3297"/>
    <w:rsid w:val="00A04ACF"/>
    <w:rsid w:val="00A17200"/>
    <w:rsid w:val="00A25325"/>
    <w:rsid w:val="00A34ABD"/>
    <w:rsid w:val="00A801BE"/>
    <w:rsid w:val="00A8312F"/>
    <w:rsid w:val="00AB7086"/>
    <w:rsid w:val="00AC0270"/>
    <w:rsid w:val="00AC2D71"/>
    <w:rsid w:val="00AC7D68"/>
    <w:rsid w:val="00B04CA0"/>
    <w:rsid w:val="00B1175E"/>
    <w:rsid w:val="00B15674"/>
    <w:rsid w:val="00B20D85"/>
    <w:rsid w:val="00B22AF9"/>
    <w:rsid w:val="00B52E6D"/>
    <w:rsid w:val="00B54B07"/>
    <w:rsid w:val="00B803C2"/>
    <w:rsid w:val="00BA4D91"/>
    <w:rsid w:val="00BB41F4"/>
    <w:rsid w:val="00BE5D35"/>
    <w:rsid w:val="00BE7980"/>
    <w:rsid w:val="00C6379B"/>
    <w:rsid w:val="00C76C17"/>
    <w:rsid w:val="00CB265D"/>
    <w:rsid w:val="00CC1CCC"/>
    <w:rsid w:val="00CD759D"/>
    <w:rsid w:val="00CE6978"/>
    <w:rsid w:val="00D00F81"/>
    <w:rsid w:val="00D023E0"/>
    <w:rsid w:val="00D56BD5"/>
    <w:rsid w:val="00DB1757"/>
    <w:rsid w:val="00DD339B"/>
    <w:rsid w:val="00DE6287"/>
    <w:rsid w:val="00DE75B7"/>
    <w:rsid w:val="00E167E8"/>
    <w:rsid w:val="00E326F4"/>
    <w:rsid w:val="00E44AF7"/>
    <w:rsid w:val="00E5446C"/>
    <w:rsid w:val="00E652CF"/>
    <w:rsid w:val="00EB1E8C"/>
    <w:rsid w:val="00EE234E"/>
    <w:rsid w:val="00F03257"/>
    <w:rsid w:val="00F35AFF"/>
    <w:rsid w:val="00F617E4"/>
    <w:rsid w:val="00F91BE8"/>
    <w:rsid w:val="00F97900"/>
    <w:rsid w:val="00FA0569"/>
    <w:rsid w:val="00FA42E1"/>
    <w:rsid w:val="00FA59DA"/>
    <w:rsid w:val="00FD5A83"/>
    <w:rsid w:val="00FE251D"/>
    <w:rsid w:val="00FF31EE"/>
    <w:rsid w:val="00F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A8B48"/>
  <w15:docId w15:val="{35B8E957-BAB0-4521-91F5-CC7348B8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CC"/>
  </w:style>
  <w:style w:type="paragraph" w:styleId="1">
    <w:name w:val="heading 1"/>
    <w:basedOn w:val="a"/>
    <w:next w:val="a"/>
    <w:link w:val="10"/>
    <w:qFormat/>
    <w:rsid w:val="00497365"/>
    <w:pPr>
      <w:keepNext/>
      <w:numPr>
        <w:numId w:val="3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97365"/>
    <w:pPr>
      <w:keepNext/>
      <w:numPr>
        <w:ilvl w:val="1"/>
        <w:numId w:val="3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97365"/>
    <w:pPr>
      <w:keepNext/>
      <w:numPr>
        <w:ilvl w:val="2"/>
        <w:numId w:val="3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97365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97365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97365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97365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97365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497365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A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E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1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973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973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973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9736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97365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97365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97365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97365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97365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7">
    <w:name w:val="annotation reference"/>
    <w:uiPriority w:val="99"/>
    <w:semiHidden/>
    <w:unhideWhenUsed/>
    <w:rsid w:val="0000106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0106B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0106B"/>
    <w:rPr>
      <w:rFonts w:ascii="Calibri" w:eastAsia="Calibri" w:hAnsi="Calibri" w:cs="Times New Roman"/>
      <w:sz w:val="20"/>
      <w:szCs w:val="20"/>
    </w:rPr>
  </w:style>
  <w:style w:type="paragraph" w:styleId="aa">
    <w:name w:val="Revision"/>
    <w:hidden/>
    <w:uiPriority w:val="99"/>
    <w:semiHidden/>
    <w:rsid w:val="00981C08"/>
    <w:pPr>
      <w:spacing w:after="0" w:line="240" w:lineRule="auto"/>
    </w:pPr>
  </w:style>
  <w:style w:type="paragraph" w:customStyle="1" w:styleId="Twordfirm">
    <w:name w:val="Tword_firm"/>
    <w:basedOn w:val="a"/>
    <w:rsid w:val="002636AD"/>
    <w:pPr>
      <w:spacing w:after="0" w:line="240" w:lineRule="auto"/>
      <w:jc w:val="center"/>
    </w:pPr>
    <w:rPr>
      <w:rFonts w:ascii="Arial" w:eastAsia="Times New Roman" w:hAnsi="Arial" w:cs="Arial"/>
      <w:i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63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636AD"/>
  </w:style>
  <w:style w:type="paragraph" w:styleId="ad">
    <w:name w:val="footer"/>
    <w:basedOn w:val="a"/>
    <w:link w:val="ae"/>
    <w:uiPriority w:val="99"/>
    <w:unhideWhenUsed/>
    <w:rsid w:val="00263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636AD"/>
  </w:style>
  <w:style w:type="table" w:styleId="af">
    <w:name w:val="Grid Table Light"/>
    <w:basedOn w:val="a1"/>
    <w:uiPriority w:val="40"/>
    <w:rsid w:val="0050360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65BAE-11D2-4B35-9A0C-27EA324A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2221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Смоленская Мария Николаевна</dc:creator>
  <cp:lastModifiedBy>Проскурина Наталья Сергеевна</cp:lastModifiedBy>
  <cp:revision>11</cp:revision>
  <cp:lastPrinted>2019-03-15T15:26:00Z</cp:lastPrinted>
  <dcterms:created xsi:type="dcterms:W3CDTF">2019-02-27T06:07:00Z</dcterms:created>
  <dcterms:modified xsi:type="dcterms:W3CDTF">2019-04-22T12:04:00Z</dcterms:modified>
</cp:coreProperties>
</file>